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GraceLearn Brand Kit</w:t>
      </w:r>
    </w:p>
    <w:p>
      <w:r>
        <w:t>Practice. Understand. Next.</w:t>
      </w:r>
    </w:p>
    <w:p>
      <w:pPr>
        <w:pStyle w:val="Heading1"/>
      </w:pPr>
      <w:r>
        <w:t>Brand direction</w:t>
      </w:r>
    </w:p>
    <w:p>
      <w:r>
        <w:t>Keep the recognisable two-leaf mark and orange centre. Use purple and deep navy for the refreshed wordmark and interface, while retaining green and orange as brand accents.</w:t>
      </w:r>
    </w:p>
    <w:p>
      <w:pPr>
        <w:pStyle w:val="Heading1"/>
      </w:pPr>
      <w:r>
        <w:t>Colour palette</w:t>
      </w:r>
    </w:p>
    <w:p>
      <w:r>
        <w:rPr>
          <w:b/>
        </w:rPr>
        <w:t xml:space="preserve">Primary purple: #5940E8 — </w:t>
      </w:r>
      <w:r>
        <w:t>Primary actions</w:t>
      </w:r>
    </w:p>
    <w:p>
      <w:r>
        <w:rPr>
          <w:b/>
        </w:rPr>
        <w:t xml:space="preserve">Deep purple: #4730C9 — </w:t>
      </w:r>
      <w:r>
        <w:t>Hover/pressed states</w:t>
      </w:r>
    </w:p>
    <w:p>
      <w:r>
        <w:rPr>
          <w:b/>
        </w:rPr>
        <w:t xml:space="preserve">Accent violet: #7958F5 — </w:t>
      </w:r>
      <w:r>
        <w:t>Highlights</w:t>
      </w:r>
    </w:p>
    <w:p>
      <w:r>
        <w:rPr>
          <w:b/>
        </w:rPr>
        <w:t xml:space="preserve">Deep navy: #141B41 — </w:t>
      </w:r>
      <w:r>
        <w:t>Headings</w:t>
      </w:r>
    </w:p>
    <w:p>
      <w:r>
        <w:rPr>
          <w:b/>
        </w:rPr>
        <w:t xml:space="preserve">Lavender: #EDE9FF — </w:t>
      </w:r>
      <w:r>
        <w:t>Soft surfaces</w:t>
      </w:r>
    </w:p>
    <w:p>
      <w:r>
        <w:rPr>
          <w:b/>
        </w:rPr>
        <w:t xml:space="preserve">Off-white: #F8F9FE — </w:t>
      </w:r>
      <w:r>
        <w:t>Page backgrounds</w:t>
      </w:r>
    </w:p>
    <w:p>
      <w:r>
        <w:rPr>
          <w:b/>
        </w:rPr>
        <w:t xml:space="preserve">White: #FFFFFF — </w:t>
      </w:r>
      <w:r>
        <w:t>Cards</w:t>
      </w:r>
    </w:p>
    <w:p>
      <w:r>
        <w:rPr>
          <w:b/>
        </w:rPr>
        <w:t xml:space="preserve">Secondary text: #59627A — </w:t>
      </w:r>
      <w:r>
        <w:t>Supporting text</w:t>
      </w:r>
    </w:p>
    <w:p>
      <w:r>
        <w:rPr>
          <w:b/>
        </w:rPr>
        <w:t xml:space="preserve">Borders: #E2E5F0 — </w:t>
      </w:r>
      <w:r>
        <w:t>Dividers</w:t>
      </w:r>
    </w:p>
    <w:p>
      <w:r>
        <w:rPr>
          <w:b/>
        </w:rPr>
        <w:t xml:space="preserve">Success green: #15976A — </w:t>
      </w:r>
      <w:r>
        <w:t>Progress</w:t>
      </w:r>
    </w:p>
    <w:p>
      <w:r>
        <w:rPr>
          <w:b/>
        </w:rPr>
        <w:t xml:space="preserve">Teal: #0F8F82 — </w:t>
      </w:r>
      <w:r>
        <w:t>Logo accent</w:t>
      </w:r>
    </w:p>
    <w:p>
      <w:r>
        <w:rPr>
          <w:b/>
        </w:rPr>
        <w:t xml:space="preserve">Orange: #F59A23 — </w:t>
      </w:r>
      <w:r>
        <w:t>Centre mark</w:t>
      </w:r>
    </w:p>
    <w:p>
      <w:pPr>
        <w:pStyle w:val="Heading1"/>
      </w:pPr>
      <w:r>
        <w:t>Typography</w:t>
      </w:r>
    </w:p>
    <w:p>
      <w:r>
        <w:t>Recommended: Plus Jakarta Sans for headings and Inter for interface/body text, with system sans-serif fallbacks.</w:t>
      </w:r>
    </w:p>
    <w:p>
      <w:pPr>
        <w:pStyle w:val="Heading1"/>
      </w:pPr>
      <w:r>
        <w:t>Logo usage</w:t>
      </w:r>
    </w:p>
    <w:p>
      <w:r>
        <w:t>Use horizontal logo for headers/documents, stacked logo for square placements, icon-only for favicon/app use, and the dark-background version on dark surfaces. Do not stretch or recolour arbitrarily.</w:t>
      </w:r>
    </w:p>
    <w:p>
      <w:pPr>
        <w:pStyle w:val="Heading1"/>
      </w:pPr>
      <w:r>
        <w:t>Printing</w:t>
      </w:r>
    </w:p>
    <w:p>
      <w:r>
        <w:t>Business cards are 90 x 50 mm. Replace placeholder contact details before printing and confirm bleed/crop requirements with your printer.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